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both"/>
        <w:rPr>
          <w:b/>
          <w:b/>
          <w:sz w:val="30"/>
          <w:szCs w:val="30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567690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both"/>
        <w:rPr>
          <w:b/>
          <w:b/>
          <w:sz w:val="30"/>
          <w:szCs w:val="30"/>
        </w:rPr>
      </w:pPr>
      <w:r>
        <w:rPr/>
      </w:r>
    </w:p>
    <w:p>
      <w:pPr>
        <w:pStyle w:val="Normal1"/>
        <w:jc w:val="both"/>
        <w:rPr>
          <w:b/>
          <w:b/>
          <w:sz w:val="30"/>
          <w:szCs w:val="30"/>
        </w:rPr>
      </w:pPr>
      <w:r>
        <w:rPr/>
      </w:r>
    </w:p>
    <w:p>
      <w:pPr>
        <w:pStyle w:val="Normal1"/>
        <w:jc w:val="both"/>
        <w:rPr>
          <w:b/>
          <w:b/>
          <w:sz w:val="30"/>
          <w:szCs w:val="30"/>
        </w:rPr>
      </w:pPr>
      <w:r>
        <w:rPr/>
      </w:r>
    </w:p>
    <w:p>
      <w:pPr>
        <w:pStyle w:val="Normal1"/>
        <w:jc w:val="both"/>
        <w:rPr>
          <w:b/>
          <w:b/>
          <w:sz w:val="30"/>
          <w:szCs w:val="30"/>
        </w:rPr>
      </w:pPr>
      <w:r>
        <w:rPr/>
      </w:r>
    </w:p>
    <w:p>
      <w:pPr>
        <w:pStyle w:val="Normal1"/>
        <w:jc w:val="both"/>
        <w:rPr>
          <w:b/>
          <w:b/>
          <w:sz w:val="30"/>
          <w:szCs w:val="30"/>
        </w:rPr>
      </w:pPr>
      <w:r>
        <w:rPr>
          <w:b/>
          <w:sz w:val="30"/>
          <w:szCs w:val="30"/>
        </w:rPr>
        <w:t xml:space="preserve">PERCORSO FORMATIVO </w:t>
      </w:r>
      <w:r>
        <w:rPr>
          <w:b/>
          <w:sz w:val="30"/>
          <w:szCs w:val="30"/>
        </w:rPr>
        <w:t>ORIENTAMENTO SCOLASTICO</w:t>
      </w:r>
    </w:p>
    <w:p>
      <w:pPr>
        <w:pStyle w:val="Normal1"/>
        <w:jc w:val="both"/>
        <w:rPr>
          <w:b/>
          <w:b/>
          <w:sz w:val="30"/>
          <w:szCs w:val="30"/>
        </w:rPr>
      </w:pPr>
      <w:r>
        <w:rPr/>
      </w:r>
    </w:p>
    <w:p>
      <w:pPr>
        <w:pStyle w:val="Normal1"/>
        <w:jc w:val="both"/>
        <w:rPr>
          <w:b/>
          <w:b/>
          <w:sz w:val="30"/>
          <w:szCs w:val="30"/>
        </w:rPr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La programmazione FSE+ 2021-2027 prevede risorse destinate alla capacità istituzionale nell’ambito degli Assi del PR pertinenti per tematica. Tali risorse sono programmate tra l’altro per attività di animazione ovvero attività di sensibilizzazione e coinvolgimento del partenariato e della società civile, anche al fine di rilevare i fabbisogni esistenti nell’ottica di sostenere la programmazione degli interventi (attività PAD 2.e.8 Capacità istituzionale “istruzione e formazione”- animazione).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In tale ambito, considerati i progetti in corso di attivazione e nell’</w:t>
      </w:r>
      <w:r>
        <w:rPr>
          <w:sz w:val="24"/>
          <w:szCs w:val="24"/>
        </w:rPr>
        <w:t>ottica di rafforzarne l’attuazione e garantire un utilizzo efficace delle risorse, si è avviat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un</w:t>
      </w:r>
      <w:r>
        <w:rPr>
          <w:sz w:val="24"/>
          <w:szCs w:val="24"/>
        </w:rPr>
        <w:t xml:space="preserve"> programma</w:t>
      </w:r>
      <w:r>
        <w:rPr>
          <w:sz w:val="24"/>
          <w:szCs w:val="24"/>
        </w:rPr>
        <w:t xml:space="preserve"> complessiv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 per la realizzazione di azioni di animazione finalizzate a interventi di orientamento scolastico nell’ambito dei Progetti Educativi Zonali  Età scolare - PEZ -  (Attivita PAD 2.f.13) sostenuti da specifici avvisi pubblici regionali, che prevedono la realizzazione di attivita laboratoriali </w:t>
      </w:r>
      <w:r>
        <w:rPr>
          <w:sz w:val="24"/>
          <w:szCs w:val="24"/>
        </w:rPr>
        <w:t>da parte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e</w:t>
      </w:r>
      <w:r>
        <w:rPr>
          <w:sz w:val="24"/>
          <w:szCs w:val="24"/>
        </w:rPr>
        <w:t>i comuni e dalle unioni di comuni capofila delle Conferenze Zonali per l’educazione e l’istruzione.</w:t>
      </w:r>
    </w:p>
    <w:p>
      <w:pPr>
        <w:pStyle w:val="Normal"/>
        <w:jc w:val="both"/>
        <w:rPr>
          <w:sz w:val="24"/>
          <w:szCs w:val="24"/>
        </w:rPr>
      </w:pPr>
      <w:r>
        <w:rPr>
          <w:strike w:val="false"/>
          <w:dstrike w:val="false"/>
          <w:sz w:val="24"/>
          <w:szCs w:val="24"/>
          <w:u w:val="none"/>
        </w:rPr>
        <w:t xml:space="preserve">Le attività laboratoriali ricomprese nei PEZ sono infatti </w:t>
      </w:r>
      <w:r>
        <w:rPr>
          <w:strike w:val="false"/>
          <w:dstrike w:val="false"/>
          <w:sz w:val="24"/>
          <w:szCs w:val="24"/>
          <w:u w:val="none"/>
        </w:rPr>
        <w:t>rivolt</w:t>
      </w:r>
      <w:r>
        <w:rPr>
          <w:strike w:val="false"/>
          <w:dstrike w:val="false"/>
          <w:sz w:val="24"/>
          <w:szCs w:val="24"/>
          <w:u w:val="none"/>
        </w:rPr>
        <w:t>e</w:t>
      </w:r>
      <w:r>
        <w:rPr>
          <w:strike w:val="false"/>
          <w:dstrike w:val="false"/>
          <w:sz w:val="24"/>
          <w:szCs w:val="24"/>
          <w:u w:val="none"/>
        </w:rPr>
        <w:t xml:space="preserve"> a bambini/e e ragazzi/e, dalla scuola primaria alla scuola secondaria di II grado, e sono diretti alla prevenzione e al contrasto della dispersione scolastica e alla promozione del successo scolastico e formativo, attraverso l’inclusione scolastica degli alunni disabili e degli alunni con diversit</w:t>
      </w:r>
      <w:r>
        <w:rPr>
          <w:strike w:val="false"/>
          <w:dstrike w:val="false"/>
          <w:sz w:val="24"/>
          <w:szCs w:val="24"/>
          <w:u w:val="none"/>
        </w:rPr>
        <w:t>à</w:t>
      </w:r>
      <w:r>
        <w:rPr>
          <w:strike w:val="false"/>
          <w:dstrike w:val="false"/>
          <w:sz w:val="24"/>
          <w:szCs w:val="24"/>
          <w:u w:val="none"/>
        </w:rPr>
        <w:t xml:space="preserve"> di lingua e cultura di provenienza, il contrasto al disagio </w:t>
      </w:r>
      <w:r>
        <w:rPr>
          <w:strike w:val="false"/>
          <w:dstrike w:val="false"/>
          <w:sz w:val="24"/>
          <w:szCs w:val="24"/>
          <w:u w:val="none"/>
        </w:rPr>
        <w:t xml:space="preserve">e </w:t>
      </w:r>
      <w:r>
        <w:rPr>
          <w:strike w:val="false"/>
          <w:dstrike w:val="false"/>
          <w:sz w:val="24"/>
          <w:szCs w:val="24"/>
          <w:u w:val="none"/>
        </w:rPr>
        <w:t>la promozione dell’orientamento scolastico.</w:t>
      </w:r>
    </w:p>
    <w:p>
      <w:pPr>
        <w:pStyle w:val="Normal"/>
        <w:jc w:val="both"/>
        <w:rPr>
          <w:strike w:val="false"/>
          <w:dstrike w:val="false"/>
          <w:u w:val="none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>
          <w:sz w:val="24"/>
          <w:szCs w:val="24"/>
        </w:rPr>
        <w:t>Nel contesto di t</w:t>
      </w:r>
      <w:r>
        <w:rPr>
          <w:sz w:val="24"/>
          <w:szCs w:val="24"/>
        </w:rPr>
        <w:t xml:space="preserve">ale </w:t>
      </w:r>
      <w:r>
        <w:rPr>
          <w:sz w:val="24"/>
          <w:szCs w:val="24"/>
        </w:rPr>
        <w:t>programma</w:t>
      </w:r>
      <w:r>
        <w:rPr>
          <w:sz w:val="24"/>
          <w:szCs w:val="24"/>
        </w:rPr>
        <w:t xml:space="preserve"> comples</w:t>
      </w:r>
      <w:r>
        <w:rPr>
          <w:sz w:val="24"/>
          <w:szCs w:val="24"/>
        </w:rPr>
        <w:t>siv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di rafforzamento della capacità istituzionale si iscrive il presente percorso formativo, rivolto agli attori del sistema della governance territoriale toscana che concorrono alla progettazione degli interventi laboratoriali di orientamento PEZ </w:t>
      </w:r>
      <w:r>
        <w:rPr>
          <w:sz w:val="24"/>
          <w:szCs w:val="24"/>
        </w:rPr>
        <w:t>realizzati dalle Conferenze zonali per l’educazione e l’istruzione in coprogettazione con le scuole del territorio, in particolare</w:t>
      </w:r>
      <w:r>
        <w:rPr>
          <w:b/>
          <w:bCs/>
          <w:sz w:val="24"/>
          <w:szCs w:val="24"/>
        </w:rPr>
        <w:t xml:space="preserve"> il percorso è quindi destinato a: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docenti funzioni strumentali per l’orientamento</w:t>
      </w:r>
      <w:r>
        <w:rPr>
          <w:sz w:val="24"/>
          <w:szCs w:val="24"/>
        </w:rPr>
        <w:t xml:space="preserve"> della scuola primaria e secondaria di I grado, estendendo anche alla secondaria di II grado in relazione al riorientamento;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referenti tecnici delle conferenze zonali educazione e istruzione: </w:t>
      </w:r>
      <w:r>
        <w:rPr>
          <w:b/>
          <w:bCs/>
          <w:sz w:val="24"/>
          <w:szCs w:val="24"/>
        </w:rPr>
        <w:t>referenti dei coordinamenti zonali educazione e scuola</w:t>
      </w:r>
      <w:r>
        <w:rPr>
          <w:sz w:val="24"/>
          <w:szCs w:val="24"/>
        </w:rPr>
        <w:t xml:space="preserve"> e eventualmente </w:t>
      </w:r>
      <w:r>
        <w:rPr>
          <w:b/>
          <w:bCs/>
          <w:sz w:val="24"/>
          <w:szCs w:val="24"/>
        </w:rPr>
        <w:t>referenti delle strutture di supporto tecnico organizzativo</w:t>
      </w:r>
      <w:r>
        <w:rPr>
          <w:sz w:val="24"/>
          <w:szCs w:val="24"/>
        </w:rPr>
        <w:t xml:space="preserve">, oltre che </w:t>
      </w:r>
      <w:r>
        <w:rPr>
          <w:b/>
          <w:bCs/>
          <w:sz w:val="24"/>
          <w:szCs w:val="24"/>
        </w:rPr>
        <w:t>referenti dei progetti PEZ</w:t>
      </w:r>
      <w:r>
        <w:rPr>
          <w:sz w:val="24"/>
          <w:szCs w:val="24"/>
        </w:rPr>
        <w:t xml:space="preserve"> (se diversi dai precedenti);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docenti referenti</w:t>
      </w:r>
      <w:r>
        <w:rPr>
          <w:b/>
          <w:bCs/>
          <w:sz w:val="24"/>
          <w:szCs w:val="24"/>
        </w:rPr>
        <w:t xml:space="preserve"> ai</w:t>
      </w:r>
      <w:r>
        <w:rPr>
          <w:b/>
          <w:bCs/>
          <w:sz w:val="24"/>
          <w:szCs w:val="24"/>
        </w:rPr>
        <w:t xml:space="preserve"> tavoli tecnici sull’orientamento presso le conferenze zonali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per la coprogettazione.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567690"/>
            <wp:effectExtent l="0" t="0" r="0" b="0"/>
            <wp:wrapSquare wrapText="largest"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both"/>
        <w:rPr/>
      </w:pPr>
      <w:r>
        <w:rPr>
          <w:b/>
          <w:sz w:val="28"/>
          <w:szCs w:val="28"/>
        </w:rPr>
        <w:t>Presentazione del percorso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percorso di formazione è finalizzato alla condivisione di teorie e buone prassi per l’orientamento scolastico e di carriera. 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>L'obiettivo principale è quello di supportare gli attori delle zone nella progettazione, al fine di raggiungere standard qualitativi significativi, in risposta ai bisogni delle diverse realtà territoriali, valorizzando il concetto di comunità orientante.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>In maniera più specifica il percorso si pone i seguenti micro-obiettivi: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Conoscere l’evoluzione dell’orientamento che ha portato ad un modello che mette al centro la persona e il suo bisogno;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Padroneggiare i concetti di career learning, career education, orientamento inclusivo e sostenibile;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Conoscenza delle CMS e di un modello orientativo basato su di esse;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Conoscere e condividere un lessico dell’orientamento;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Conoscenza dei bisogni orientativi dei target di riferimento;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Conoscenza di come i bisogni orientativi del target di riferimento siano cambiati in un’ottica ecologica;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Conoscenza delle principali problematiche oggi legate all’ orientamento: dispersione, Neet, quiet quitting, mismatch;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Individuare gli strumenti e le tecniche più adeguate per l’analisi del bisogno orientativo a diversi livelli: zona, Istituto, classe, individuo;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Individuare metodologie e strumenti di intervento orientativo più adeguati per rispondere ai bisogni emersi;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Strumenti per la valutazione della qualità degli interventi in orientamento.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>La durata complessiva del percorso sarà di 12 ore (6 online e 6 in presenza) sono previste sei edizioni tra aprile e giugno.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Incontri online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Saranno rivolti a </w:t>
      </w:r>
      <w:r>
        <w:rPr>
          <w:sz w:val="24"/>
          <w:szCs w:val="24"/>
        </w:rPr>
        <w:t xml:space="preserve">referenti dei </w:t>
      </w:r>
      <w:r>
        <w:rPr>
          <w:sz w:val="24"/>
          <w:szCs w:val="24"/>
        </w:rPr>
        <w:t>coordina</w:t>
      </w:r>
      <w:r>
        <w:rPr>
          <w:sz w:val="24"/>
          <w:szCs w:val="24"/>
        </w:rPr>
        <w:t>menti zonali</w:t>
      </w:r>
      <w:r>
        <w:rPr>
          <w:sz w:val="24"/>
          <w:szCs w:val="24"/>
        </w:rPr>
        <w:t xml:space="preserve"> e docenti funzioni strumentali degli Istituti di primo e secondo grado. Inizialmente i due target seguiranno separatamente, mentre verranno riuniti per la giornata in presenza </w:t>
      </w:r>
      <w:r>
        <w:rPr>
          <w:sz w:val="24"/>
          <w:szCs w:val="24"/>
        </w:rPr>
        <w:t>(per docenti referenti)</w:t>
      </w:r>
      <w:r>
        <w:rPr>
          <w:sz w:val="24"/>
          <w:szCs w:val="24"/>
        </w:rPr>
        <w:t>.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6 ore online si articoleranno in 2 incontri della durata di 3 ore ciascuno, durante i quali verranno trattati i seguenti argomenti: 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-le principali teorie dell’orientamento, fino all’attuale modello delle Career Management Skills ed ai costrutti della career learning e career education; 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567690"/>
            <wp:effectExtent l="0" t="0" r="0" b="0"/>
            <wp:wrapSquare wrapText="largest"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-l’analisi dei bisogni e delle criticità del target adolescenziale in orientamento, in relazione al contesto socio-culturale di riferimento territoriale.</w:t>
      </w:r>
    </w:p>
    <w:p>
      <w:pPr>
        <w:pStyle w:val="Normal1"/>
        <w:jc w:val="both"/>
        <w:rPr>
          <w:b/>
          <w:b/>
          <w:bCs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Incontr</w:t>
      </w:r>
      <w:r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 xml:space="preserve"> in presenza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Come detto in precedenza riunirà </w:t>
      </w:r>
      <w:r>
        <w:rPr>
          <w:sz w:val="24"/>
          <w:szCs w:val="24"/>
        </w:rPr>
        <w:t xml:space="preserve">referenti dei </w:t>
      </w:r>
      <w:r>
        <w:rPr>
          <w:sz w:val="24"/>
          <w:szCs w:val="24"/>
        </w:rPr>
        <w:t>coordina</w:t>
      </w:r>
      <w:r>
        <w:rPr>
          <w:sz w:val="24"/>
          <w:szCs w:val="24"/>
        </w:rPr>
        <w:t>menti zonali</w:t>
      </w:r>
      <w:r>
        <w:rPr>
          <w:sz w:val="24"/>
          <w:szCs w:val="24"/>
        </w:rPr>
        <w:t xml:space="preserve"> e docenti </w:t>
      </w:r>
      <w:r>
        <w:rPr>
          <w:sz w:val="24"/>
          <w:szCs w:val="24"/>
        </w:rPr>
        <w:t>referenti</w:t>
      </w:r>
      <w:r>
        <w:rPr>
          <w:sz w:val="24"/>
          <w:szCs w:val="24"/>
        </w:rPr>
        <w:t xml:space="preserve"> ai</w:t>
      </w:r>
      <w:r>
        <w:rPr>
          <w:sz w:val="24"/>
          <w:szCs w:val="24"/>
        </w:rPr>
        <w:t xml:space="preserve"> tavoli tecnici </w:t>
      </w:r>
      <w:r>
        <w:rPr>
          <w:sz w:val="24"/>
          <w:szCs w:val="24"/>
        </w:rPr>
        <w:t>ed avrà la finalità di condurre il gruppo allargato alla co-costruzione di uno schema di progetto di orientamento, sulla base delle indicazioni regionali, che possa rispondere in maniera centrata alle richieste del nuovo avviso, tenendo conto delle peculiarità territoriali e degli aspetti socio-economici.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Iscrizioni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 xml:space="preserve">I partecipanti sono riuniti in </w:t>
      </w:r>
      <w:r>
        <w:rPr>
          <w:sz w:val="24"/>
          <w:szCs w:val="24"/>
        </w:rPr>
        <w:t xml:space="preserve">sei </w:t>
      </w:r>
      <w:r>
        <w:rPr>
          <w:sz w:val="24"/>
          <w:szCs w:val="24"/>
        </w:rPr>
        <w:t>gruppi (da A a F) su sei diverse aree territoriali  per le quali si realizzano le diverse edizioni degli incontri.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La realizzazione del percorso è affidata al Centro Studi Pluriversum.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 allegato il calendario completo </w:t>
      </w:r>
      <w:r>
        <w:rPr>
          <w:b/>
          <w:bCs/>
          <w:sz w:val="24"/>
          <w:szCs w:val="24"/>
        </w:rPr>
        <w:t>del percorso formativo</w:t>
      </w:r>
    </w:p>
    <w:p>
      <w:pPr>
        <w:pStyle w:val="Normal1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jc w:val="both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</w:t>
      </w:r>
      <w:r>
        <w:rPr>
          <w:b/>
          <w:bCs/>
          <w:sz w:val="24"/>
          <w:szCs w:val="24"/>
          <w:u w:val="single"/>
        </w:rPr>
        <w:t xml:space="preserve">er participare è richiesta l’iscrizione preliminare attraverso il link corrispondente al </w:t>
      </w:r>
      <w:r>
        <w:rPr>
          <w:b/>
          <w:bCs/>
          <w:sz w:val="24"/>
          <w:szCs w:val="24"/>
          <w:u w:val="single"/>
        </w:rPr>
        <w:t>gruppo di appartenenza</w:t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ito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ito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ito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ottotito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72</TotalTime>
  <Application>LibreOffice/6.4.6.2$Windows_X86_64 LibreOffice_project/0ce51a4fd21bff07a5c061082cc82c5ed232f115</Application>
  <Pages>3</Pages>
  <Words>799</Words>
  <Characters>4941</Characters>
  <CharactersWithSpaces>5699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2024-03-06T15:35:00Z</dcterms:created>
  <dc:creator/>
  <dc:description/>
  <dc:language>it-IT</dc:language>
  <cp:lastModifiedBy/>
  <dcterms:modified xsi:type="dcterms:W3CDTF">2024-04-11T16:55:24Z</dcterms:modified>
  <cp:revision>10</cp:revision>
  <dc:subject/>
  <dc:title/>
</cp:coreProperties>
</file>